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F819" w14:textId="03C735F9" w:rsidR="00EA31C6" w:rsidRPr="00955869" w:rsidRDefault="00EA31C6" w:rsidP="00EA31C6">
      <w:pPr>
        <w:spacing w:line="360" w:lineRule="auto"/>
        <w:ind w:firstLine="851"/>
        <w:jc w:val="both"/>
        <w:rPr>
          <w:rFonts w:cstheme="minorHAnsi"/>
        </w:rPr>
      </w:pPr>
      <w:r w:rsidRPr="00955869">
        <w:rPr>
          <w:rFonts w:cstheme="minorHAnsi"/>
        </w:rPr>
        <w:t xml:space="preserve">Przedmiotem Zapytania ofertowego jest świadczenie od dnia </w:t>
      </w:r>
      <w:r w:rsidRPr="00955869">
        <w:rPr>
          <w:rFonts w:cstheme="minorHAnsi"/>
          <w:b/>
        </w:rPr>
        <w:t>1 stycznia  202</w:t>
      </w:r>
      <w:r w:rsidR="00034F8A">
        <w:rPr>
          <w:rFonts w:cstheme="minorHAnsi"/>
          <w:b/>
        </w:rPr>
        <w:t>5</w:t>
      </w:r>
      <w:r w:rsidRPr="00955869">
        <w:rPr>
          <w:rFonts w:cstheme="minorHAnsi"/>
          <w:b/>
        </w:rPr>
        <w:t xml:space="preserve"> r.  do 31 grudnia 202</w:t>
      </w:r>
      <w:r w:rsidR="00034F8A">
        <w:rPr>
          <w:rFonts w:cstheme="minorHAnsi"/>
          <w:b/>
        </w:rPr>
        <w:t>5</w:t>
      </w:r>
      <w:r w:rsidRPr="00955869">
        <w:rPr>
          <w:rFonts w:cstheme="minorHAnsi"/>
        </w:rPr>
        <w:t xml:space="preserve"> r. usługi polegającej na wykonaniu umowy dostępu do Internetu dla Urzędu Marszałkowskiego Województwa Podlaskiego w Białymstoku na potrzeby „Sieci Szerokopasmowej Polski Wschodniej – województwo podlaskie”  jak też i jej klientów. Warunki techniczne jakie muszą być spełnione w niniejszej części zapytania ofertowego przedstawiają się następująco: </w:t>
      </w:r>
    </w:p>
    <w:p w14:paraId="749AC2D3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theme="minorHAnsi"/>
        </w:rPr>
      </w:pPr>
      <w:r w:rsidRPr="00955869">
        <w:rPr>
          <w:rFonts w:cstheme="minorHAnsi"/>
          <w:color w:val="000000"/>
        </w:rPr>
        <w:t>W ramach tego zadania Wykonawca zapewni wpięcie do sieci Internet systemu autonomicznego AS209522 (SSPW-WP-Podlaskie) Zamawiającego wraz z pulą adresów publicznych IPv4 152.89.52.0/22 i pula IPv6 2a09:2d40::/29</w:t>
      </w:r>
      <w:r w:rsidRPr="00955869">
        <w:rPr>
          <w:rFonts w:eastAsia="Times New Roman" w:cstheme="minorHAnsi"/>
        </w:rPr>
        <w:t>.</w:t>
      </w:r>
    </w:p>
    <w:p w14:paraId="703120A5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955869">
        <w:rPr>
          <w:rFonts w:cstheme="minorHAnsi"/>
          <w:color w:val="000000"/>
        </w:rPr>
        <w:t>Wykonawca udostępnieni niezbędną pulę adresowaną IPv4 na potrzeby zbudowania punktu styku między Wykonawcą, a Zamawiającym.</w:t>
      </w:r>
    </w:p>
    <w:p w14:paraId="27BE4DDB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955869">
        <w:rPr>
          <w:rFonts w:cstheme="minorHAnsi"/>
          <w:color w:val="000000"/>
        </w:rPr>
        <w:t xml:space="preserve">Wykonawca zapewni Gwarantowaną szybkość łącza: </w:t>
      </w:r>
      <w:proofErr w:type="spellStart"/>
      <w:r w:rsidRPr="00955869">
        <w:rPr>
          <w:rFonts w:cstheme="minorHAnsi"/>
          <w:color w:val="000000"/>
        </w:rPr>
        <w:t>download</w:t>
      </w:r>
      <w:proofErr w:type="spellEnd"/>
      <w:r w:rsidRPr="00955869">
        <w:rPr>
          <w:rFonts w:cstheme="minorHAnsi"/>
          <w:color w:val="000000"/>
        </w:rPr>
        <w:t xml:space="preserve"> - minimum 1000 </w:t>
      </w:r>
      <w:proofErr w:type="spellStart"/>
      <w:r w:rsidRPr="00955869">
        <w:rPr>
          <w:rFonts w:cstheme="minorHAnsi"/>
          <w:color w:val="000000"/>
        </w:rPr>
        <w:t>Mbit</w:t>
      </w:r>
      <w:proofErr w:type="spellEnd"/>
      <w:r w:rsidRPr="00955869">
        <w:rPr>
          <w:rFonts w:cstheme="minorHAnsi"/>
          <w:color w:val="000000"/>
        </w:rPr>
        <w:t xml:space="preserve">/s, </w:t>
      </w:r>
      <w:proofErr w:type="spellStart"/>
      <w:r w:rsidRPr="00955869">
        <w:rPr>
          <w:rFonts w:cstheme="minorHAnsi"/>
          <w:color w:val="000000"/>
        </w:rPr>
        <w:t>upload</w:t>
      </w:r>
      <w:proofErr w:type="spellEnd"/>
      <w:r w:rsidRPr="0095586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</w:r>
      <w:r w:rsidRPr="00955869">
        <w:rPr>
          <w:rFonts w:cstheme="minorHAnsi"/>
          <w:color w:val="000000"/>
        </w:rPr>
        <w:t xml:space="preserve">- minimum 1000 </w:t>
      </w:r>
      <w:proofErr w:type="spellStart"/>
      <w:r w:rsidRPr="00955869">
        <w:rPr>
          <w:rFonts w:cstheme="minorHAnsi"/>
          <w:color w:val="000000"/>
        </w:rPr>
        <w:t>Mbit</w:t>
      </w:r>
      <w:proofErr w:type="spellEnd"/>
      <w:r w:rsidRPr="00955869">
        <w:rPr>
          <w:rFonts w:cstheme="minorHAnsi"/>
          <w:color w:val="000000"/>
        </w:rPr>
        <w:t xml:space="preserve">/s – jeżeli w trakcie trwania umowy wystąpi potrzeba zwiększenia </w:t>
      </w:r>
      <w:r>
        <w:rPr>
          <w:rFonts w:cstheme="minorHAnsi"/>
          <w:color w:val="000000"/>
        </w:rPr>
        <w:br/>
      </w:r>
      <w:r w:rsidRPr="00955869">
        <w:rPr>
          <w:rFonts w:cstheme="minorHAnsi"/>
          <w:color w:val="000000"/>
        </w:rPr>
        <w:t xml:space="preserve">lub zmniejszenia prędkości dostępu do Internetu to Zamawiający będzie mógł aneksem do umowy je zwiększyć lub zmniejszać o wielokrotność 1/10 (100 </w:t>
      </w:r>
      <w:proofErr w:type="spellStart"/>
      <w:r w:rsidRPr="00955869">
        <w:rPr>
          <w:rFonts w:cstheme="minorHAnsi"/>
          <w:color w:val="000000"/>
        </w:rPr>
        <w:t>Mbit</w:t>
      </w:r>
      <w:proofErr w:type="spellEnd"/>
      <w:r w:rsidRPr="00955869">
        <w:rPr>
          <w:rFonts w:cstheme="minorHAnsi"/>
          <w:color w:val="000000"/>
        </w:rPr>
        <w:t xml:space="preserve">/s), w wyniku czego miesięczny abonament odpowiednio wzrośnie lub zmaleje również o wielokrotność 1/10 wartości pierwotnej opłaty miesięcznej wskazanej w zawartej umowie. </w:t>
      </w:r>
    </w:p>
    <w:p w14:paraId="4ABDA466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955869">
        <w:rPr>
          <w:rFonts w:cstheme="minorHAnsi"/>
          <w:color w:val="000000"/>
        </w:rPr>
        <w:t>Technologia dostarczenia usługi: dwa niezależne połączenia optyczne w technologii Ethernet</w:t>
      </w:r>
      <w:r w:rsidRPr="00955869">
        <w:rPr>
          <w:rFonts w:cstheme="minorHAnsi"/>
          <w:color w:val="000000"/>
        </w:rPr>
        <w:br/>
        <w:t>o prędkości portu 10GE zakończone na 2 różnych Routerach brzegowych Zamawiającego. Jedno łącze optyczne należy zakończyć w węźle szkieletowych SSPW w Białymstoku w kontenerze telekomunikacyjnym CZS Białystok przy ul. Poleskiej 89. Drugie łącze należy zakończyć</w:t>
      </w:r>
      <w:r w:rsidRPr="00955869">
        <w:rPr>
          <w:rFonts w:cstheme="minorHAnsi"/>
          <w:color w:val="000000"/>
        </w:rPr>
        <w:br/>
        <w:t xml:space="preserve">w jednym z poniższych urządzeń brzegowych Zamawiającego tj.: w Łomży w serwerowni SSPW </w:t>
      </w:r>
      <w:r>
        <w:rPr>
          <w:rFonts w:cstheme="minorHAnsi"/>
          <w:color w:val="000000"/>
        </w:rPr>
        <w:br/>
      </w:r>
      <w:r w:rsidRPr="00955869">
        <w:rPr>
          <w:rFonts w:cstheme="minorHAnsi"/>
          <w:color w:val="000000"/>
        </w:rPr>
        <w:t>w pomieszczeniu WORD Łomża ul. Zjazd 21 lub w Suwałkach w serwerowni SSPW</w:t>
      </w:r>
      <w:r w:rsidRPr="00955869">
        <w:rPr>
          <w:rFonts w:cstheme="minorHAnsi"/>
          <w:color w:val="000000"/>
        </w:rPr>
        <w:br/>
        <w:t xml:space="preserve">w pomieszczeniu WORD Suwałki ul. Ludwika Waryńskiego 34. </w:t>
      </w:r>
    </w:p>
    <w:p w14:paraId="6858AEB9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955869">
        <w:rPr>
          <w:rFonts w:cstheme="minorHAnsi"/>
          <w:color w:val="000000"/>
        </w:rPr>
        <w:t xml:space="preserve">Zamawiający wymaga stałego miesięcznego abonamentu, który będzie fakturowany oddzielnie </w:t>
      </w:r>
      <w:r>
        <w:rPr>
          <w:rFonts w:cstheme="minorHAnsi"/>
          <w:color w:val="000000"/>
        </w:rPr>
        <w:br/>
      </w:r>
      <w:r w:rsidRPr="00955869">
        <w:rPr>
          <w:rFonts w:cstheme="minorHAnsi"/>
          <w:color w:val="000000"/>
        </w:rPr>
        <w:t>za powyższą  zadanie.</w:t>
      </w:r>
    </w:p>
    <w:p w14:paraId="2D33EEF6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</w:rPr>
      </w:pPr>
      <w:r w:rsidRPr="00955869">
        <w:rPr>
          <w:rFonts w:cstheme="minorHAnsi"/>
        </w:rPr>
        <w:t xml:space="preserve">Zamawiający wymaga zestawienia łącza do sieci Internetem z routingiem BGP. Wymaga </w:t>
      </w:r>
      <w:r>
        <w:rPr>
          <w:rFonts w:cstheme="minorHAnsi"/>
        </w:rPr>
        <w:br/>
      </w:r>
      <w:r w:rsidRPr="00955869">
        <w:rPr>
          <w:rFonts w:cstheme="minorHAnsi"/>
        </w:rPr>
        <w:t xml:space="preserve">się by każdy z Routerów brzegowych Zamawiającego miał zestawioną sesję BGP do dwóch routerów BGP Wykonawcy. Zamawiający dysponuje w swoich urządzeniach brzegowych </w:t>
      </w:r>
      <w:proofErr w:type="spellStart"/>
      <w:r w:rsidRPr="00955869">
        <w:rPr>
          <w:rFonts w:cstheme="minorHAnsi"/>
        </w:rPr>
        <w:t>Juniper</w:t>
      </w:r>
      <w:proofErr w:type="spellEnd"/>
      <w:r w:rsidRPr="00955869">
        <w:rPr>
          <w:rFonts w:cstheme="minorHAnsi"/>
        </w:rPr>
        <w:t xml:space="preserve"> MX960 wkładkami 2J SFP+ 10G o zasięgu 10km.</w:t>
      </w:r>
    </w:p>
    <w:p w14:paraId="3C632198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</w:rPr>
      </w:pPr>
      <w:r w:rsidRPr="00955869">
        <w:rPr>
          <w:rFonts w:cstheme="minorHAnsi"/>
        </w:rPr>
        <w:t xml:space="preserve">W ramach oferty Wykonawca zapewni dostęp do usługi DNS z puli IP Zamawiającego. Wykonawca będzie zarządzał usługa DNS i wykonywał na bieżąco blokowanie domen wymienionych </w:t>
      </w:r>
      <w:r>
        <w:rPr>
          <w:rFonts w:cstheme="minorHAnsi"/>
        </w:rPr>
        <w:br/>
      </w:r>
      <w:r w:rsidRPr="00955869">
        <w:rPr>
          <w:rFonts w:cstheme="minorHAnsi"/>
        </w:rPr>
        <w:t>na stronie</w:t>
      </w:r>
      <w:r w:rsidRPr="00955869">
        <w:rPr>
          <w:rFonts w:cstheme="minorHAnsi"/>
          <w:color w:val="333333"/>
          <w:shd w:val="clear" w:color="auto" w:fill="FFFFFF"/>
        </w:rPr>
        <w:t> </w:t>
      </w:r>
      <w:hyperlink r:id="rId7" w:tgtFrame="_blank" w:history="1">
        <w:r w:rsidRPr="00955869">
          <w:rPr>
            <w:rStyle w:val="Pogrubienie"/>
            <w:rFonts w:cstheme="minorHAnsi"/>
            <w:shd w:val="clear" w:color="auto" w:fill="FFFFFF"/>
          </w:rPr>
          <w:t>https://hazard.mf.gov.pl</w:t>
        </w:r>
      </w:hyperlink>
      <w:r w:rsidRPr="00955869">
        <w:rPr>
          <w:rFonts w:cstheme="minorHAnsi"/>
        </w:rPr>
        <w:t>.</w:t>
      </w:r>
    </w:p>
    <w:p w14:paraId="420C8FF9" w14:textId="77777777" w:rsidR="00EA31C6" w:rsidRPr="00955869" w:rsidRDefault="00EA31C6" w:rsidP="00EA31C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</w:rPr>
      </w:pPr>
      <w:r w:rsidRPr="00955869">
        <w:rPr>
          <w:rFonts w:cstheme="minorHAnsi"/>
        </w:rPr>
        <w:lastRenderedPageBreak/>
        <w:t>Zamawiający wymaga by wszelkie prace konfiguracyjne i instalacyjne były zakończone nie później niż do 21 grudnia br. tak by ciągłość obecnie świadczonych usług przez Zamawiającego nie była zakłócona a zmiana dostawcy usług odbyło się bez wpływu na klientów Zamawiającego.</w:t>
      </w:r>
    </w:p>
    <w:p w14:paraId="76FC0F6E" w14:textId="77777777" w:rsidR="00EA31C6" w:rsidRPr="00955869" w:rsidRDefault="00EA31C6" w:rsidP="00EA31C6">
      <w:pPr>
        <w:pStyle w:val="Akapitzlist"/>
        <w:spacing w:after="0" w:line="240" w:lineRule="auto"/>
        <w:ind w:left="284"/>
        <w:jc w:val="both"/>
        <w:rPr>
          <w:rFonts w:cstheme="minorHAnsi"/>
          <w:color w:val="000000"/>
        </w:rPr>
      </w:pPr>
    </w:p>
    <w:p w14:paraId="3EE8F635" w14:textId="77777777" w:rsidR="00EA31C6" w:rsidRPr="00955869" w:rsidRDefault="00EA31C6" w:rsidP="00EA31C6">
      <w:pPr>
        <w:spacing w:after="0" w:line="360" w:lineRule="auto"/>
        <w:jc w:val="both"/>
        <w:rPr>
          <w:rFonts w:cstheme="minorHAnsi"/>
          <w:color w:val="000000"/>
        </w:rPr>
      </w:pPr>
      <w:r w:rsidRPr="00955869">
        <w:rPr>
          <w:rFonts w:cstheme="minorHAnsi"/>
          <w:color w:val="000000"/>
        </w:rPr>
        <w:t>Wszelkie koszty związane z instalacją kabli, łączeniem (</w:t>
      </w:r>
      <w:proofErr w:type="spellStart"/>
      <w:r w:rsidRPr="00955869">
        <w:rPr>
          <w:rFonts w:cstheme="minorHAnsi"/>
          <w:color w:val="000000"/>
        </w:rPr>
        <w:t>krosowaniem</w:t>
      </w:r>
      <w:proofErr w:type="spellEnd"/>
      <w:r w:rsidRPr="00955869">
        <w:rPr>
          <w:rFonts w:cstheme="minorHAnsi"/>
          <w:color w:val="000000"/>
        </w:rPr>
        <w:t xml:space="preserve">) pomiędzy urządzeniami, koniecznością zakupu i zainstalowania innych dedykowanych do urządzeń Zamawiającego wkładek optycznych SFP+ 10G (z diagnostyką optyczną) od tych wskazanych w pkt. 6, spawaniem, zakupem innych niezbędnych materiałów instalacyjnych, sporządzeniem dokumentacji powykonawczej </w:t>
      </w:r>
      <w:r>
        <w:rPr>
          <w:rFonts w:cstheme="minorHAnsi"/>
          <w:color w:val="000000"/>
        </w:rPr>
        <w:br/>
      </w:r>
      <w:r w:rsidRPr="00955869">
        <w:rPr>
          <w:rFonts w:cstheme="minorHAnsi"/>
          <w:color w:val="000000"/>
        </w:rPr>
        <w:t xml:space="preserve">itp. związanych z realizacją poniższego zadania pozostają po stronie Wykonawcy. </w:t>
      </w:r>
    </w:p>
    <w:p w14:paraId="0A3A23DA" w14:textId="77777777" w:rsidR="00EA31C6" w:rsidRPr="00955869" w:rsidRDefault="00EA31C6" w:rsidP="00EA31C6">
      <w:pPr>
        <w:pStyle w:val="Akapitzlist"/>
        <w:spacing w:after="0" w:line="240" w:lineRule="auto"/>
        <w:ind w:left="1134"/>
        <w:jc w:val="both"/>
        <w:rPr>
          <w:rFonts w:cstheme="minorHAnsi"/>
        </w:rPr>
      </w:pPr>
    </w:p>
    <w:p w14:paraId="737E1871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955869">
        <w:rPr>
          <w:rFonts w:eastAsia="Times New Roman" w:cstheme="minorHAnsi"/>
          <w:color w:val="000000"/>
        </w:rPr>
        <w:t>Jak wspomniano wyżej, w ramach świadczonej usługi wymagana jest redundancja połączenia</w:t>
      </w:r>
      <w:r w:rsidRPr="00955869">
        <w:rPr>
          <w:rFonts w:eastAsia="Times New Roman" w:cstheme="minorHAnsi"/>
          <w:color w:val="000000"/>
        </w:rPr>
        <w:br/>
        <w:t xml:space="preserve">z Internetem w postaci dwóch niezależnych połączeń światłowodowych do routerów brzegowych Zamawiającego wskazanych w pkt.4. Połączenie z Internetem miałoby działać na zasadzie dwóch niezależnych sesji BGP z każdego routera brzegowego Zamawiającego, gdzie doprowadzone zostaną połączenia optyczne przez Wykonawcę. Gdy awarii ulegnie jedno łącze optyczne lub niedostępny będzie jeden z routerów BGP to połączenie z Internetem będzie realizowane po przełączeniu przez routing BGP na drugie łącze lub drugi router BGP z zachowaniem pełnej dostępności do Internet. Łącza optyczne i sesje BGP zostaną zakończone u Zamawiającego na  routerach brzegowych </w:t>
      </w:r>
      <w:proofErr w:type="spellStart"/>
      <w:r w:rsidRPr="00955869">
        <w:rPr>
          <w:rFonts w:eastAsia="Times New Roman" w:cstheme="minorHAnsi"/>
          <w:color w:val="000000"/>
        </w:rPr>
        <w:t>Juniper</w:t>
      </w:r>
      <w:proofErr w:type="spellEnd"/>
      <w:r w:rsidRPr="00955869">
        <w:rPr>
          <w:rFonts w:eastAsia="Times New Roman" w:cstheme="minorHAnsi"/>
          <w:color w:val="000000"/>
        </w:rPr>
        <w:t xml:space="preserve"> MX960. </w:t>
      </w:r>
    </w:p>
    <w:p w14:paraId="477C945F" w14:textId="77777777" w:rsidR="00EA31C6" w:rsidRPr="00955869" w:rsidRDefault="00EA31C6" w:rsidP="00EA31C6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14:paraId="1154DAF4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955869">
        <w:rPr>
          <w:rFonts w:eastAsia="Times New Roman" w:cstheme="minorHAnsi"/>
        </w:rPr>
        <w:t xml:space="preserve">Dodatkowo w kwocie oferty należy uwzględnić cenę asysty technicznej przy konfiguracji, rekonfiguracji i </w:t>
      </w:r>
      <w:r w:rsidRPr="00955869">
        <w:rPr>
          <w:rFonts w:eastAsia="Times New Roman" w:cstheme="minorHAnsi"/>
          <w:color w:val="000000"/>
        </w:rPr>
        <w:t xml:space="preserve">wdrożeniu usługi na dwóch Routerach brzegowych </w:t>
      </w:r>
      <w:proofErr w:type="spellStart"/>
      <w:r w:rsidRPr="00955869">
        <w:rPr>
          <w:rFonts w:eastAsia="Times New Roman" w:cstheme="minorHAnsi"/>
          <w:color w:val="000000"/>
        </w:rPr>
        <w:t>Juniper</w:t>
      </w:r>
      <w:proofErr w:type="spellEnd"/>
      <w:r w:rsidRPr="00955869">
        <w:rPr>
          <w:rFonts w:eastAsia="Times New Roman" w:cstheme="minorHAnsi"/>
          <w:color w:val="000000"/>
        </w:rPr>
        <w:t xml:space="preserve"> MX960 Zamawiającego.</w:t>
      </w:r>
    </w:p>
    <w:p w14:paraId="7F607F54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  <w:color w:val="000000"/>
        </w:rPr>
      </w:pPr>
    </w:p>
    <w:p w14:paraId="3401BEAA" w14:textId="77777777" w:rsidR="00EA31C6" w:rsidRDefault="00EA31C6" w:rsidP="00EA31C6">
      <w:pPr>
        <w:spacing w:after="0" w:line="360" w:lineRule="auto"/>
        <w:jc w:val="both"/>
        <w:rPr>
          <w:rFonts w:cstheme="minorHAnsi"/>
        </w:rPr>
      </w:pPr>
      <w:r w:rsidRPr="00955869">
        <w:rPr>
          <w:rFonts w:eastAsia="Times New Roman" w:cstheme="minorHAnsi"/>
          <w:color w:val="000000"/>
        </w:rPr>
        <w:t xml:space="preserve">Z uwagi na fakt, że Zamawiający jest dostawcą usług hurtowych wymagana jest wysoka niezawodność rozwiązania z wymaganym minimalnym wskaźnikiem jakości świadczonej usługi SLA </w:t>
      </w:r>
      <w:r>
        <w:rPr>
          <w:rFonts w:eastAsia="Times New Roman" w:cstheme="minorHAnsi"/>
          <w:color w:val="000000"/>
        </w:rPr>
        <w:br/>
      </w:r>
      <w:r w:rsidRPr="00955869">
        <w:rPr>
          <w:rFonts w:eastAsia="Times New Roman" w:cstheme="minorHAnsi"/>
          <w:color w:val="000000"/>
        </w:rPr>
        <w:t xml:space="preserve">na poziomie 99,95% w skali miesiąca. Oznacza to, że sumaryczna miesięczna niedostępność usługi może wynosić maksymalnie 0,05% czasu. W przeliczeniu na czas daje to łączny czas przerwy wynoszący 21 minut i 36 sekund w miesiącu (przyjęto średniomiesięcznie 30 dni łącznie -720 godzin). Dla miesiąca z inną ilością dni przeliczenie będzie proporcjonalne. Przekroczenie łącznego dopuszczalnego czasu przerwy będzie skutkowało </w:t>
      </w:r>
      <w:r>
        <w:rPr>
          <w:rFonts w:eastAsia="Times New Roman" w:cstheme="minorHAnsi"/>
          <w:color w:val="000000"/>
        </w:rPr>
        <w:t xml:space="preserve">obniżeniem poziomu abonamentu </w:t>
      </w:r>
      <w:r w:rsidRPr="00955869">
        <w:rPr>
          <w:rFonts w:eastAsia="Times New Roman" w:cstheme="minorHAnsi"/>
          <w:color w:val="000000"/>
        </w:rPr>
        <w:t>za kolejny ok</w:t>
      </w:r>
      <w:r>
        <w:rPr>
          <w:rFonts w:eastAsia="Times New Roman" w:cstheme="minorHAnsi"/>
          <w:color w:val="000000"/>
        </w:rPr>
        <w:t xml:space="preserve">res rozliczeniowy. Czas przerwy </w:t>
      </w:r>
      <w:r w:rsidRPr="00955869">
        <w:rPr>
          <w:rFonts w:eastAsia="Times New Roman" w:cstheme="minorHAnsi"/>
          <w:color w:val="000000"/>
        </w:rPr>
        <w:t xml:space="preserve">w dostawie Internetu dotyczy braku dostępu do Internetu poprzez dwa łącza optyczne jednocześnie (to określamy </w:t>
      </w:r>
      <w:r w:rsidRPr="00955869">
        <w:rPr>
          <w:rFonts w:cstheme="minorHAnsi"/>
        </w:rPr>
        <w:t xml:space="preserve">awarią), a nie tylko poprzez jedno z nich – czyli dotyczy </w:t>
      </w:r>
      <w:r>
        <w:rPr>
          <w:rFonts w:cstheme="minorHAnsi"/>
        </w:rPr>
        <w:br/>
      </w:r>
      <w:r w:rsidRPr="00955869">
        <w:rPr>
          <w:rFonts w:cstheme="minorHAnsi"/>
        </w:rPr>
        <w:t>to przerwy w funkcjonowaniu Internetu do Zamawiającego, a nie w funkcjonowaniu redundancji. Czas przerwy w dostępie do Internetu będzie liczony od momentu Zgłoszenia awarii do Wykonawcy. Zgłoszenia te będą wysyłane i pow</w:t>
      </w:r>
      <w:r>
        <w:rPr>
          <w:rFonts w:cstheme="minorHAnsi"/>
        </w:rPr>
        <w:t xml:space="preserve">inny być odbierane w trybie 24h </w:t>
      </w:r>
      <w:r w:rsidRPr="00955869">
        <w:rPr>
          <w:rFonts w:cstheme="minorHAnsi"/>
        </w:rPr>
        <w:t xml:space="preserve">na dobę. </w:t>
      </w:r>
    </w:p>
    <w:p w14:paraId="41FC510E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955869">
        <w:rPr>
          <w:rFonts w:cstheme="minorHAnsi"/>
        </w:rPr>
        <w:t xml:space="preserve">W poniższej tabeli przedstawione są poziomy </w:t>
      </w:r>
      <w:r>
        <w:rPr>
          <w:rFonts w:eastAsia="Times New Roman" w:cstheme="minorHAnsi"/>
          <w:color w:val="000000"/>
        </w:rPr>
        <w:t>obniżeń abonamentu</w:t>
      </w:r>
      <w:r w:rsidRPr="00054D92">
        <w:rPr>
          <w:rFonts w:eastAsia="Times New Roman" w:cstheme="minorHAnsi"/>
          <w:color w:val="000000"/>
        </w:rPr>
        <w:t xml:space="preserve"> </w:t>
      </w:r>
      <w:r w:rsidRPr="00955869">
        <w:rPr>
          <w:rFonts w:cstheme="minorHAnsi"/>
        </w:rPr>
        <w:t>za przekroczenie kolejnych przedziałów czasowych powyżej dopuszczalnego SLA: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3843"/>
      </w:tblGrid>
      <w:tr w:rsidR="00EA31C6" w:rsidRPr="00955869" w14:paraId="4F838694" w14:textId="77777777" w:rsidTr="005172A8">
        <w:trPr>
          <w:cantSplit/>
          <w:trHeight w:val="842"/>
        </w:trPr>
        <w:tc>
          <w:tcPr>
            <w:tcW w:w="4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BE6300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  <w:b/>
                <w:bCs/>
              </w:rPr>
              <w:lastRenderedPageBreak/>
              <w:t>Odchylenie od poziomu dostępności Usługi</w:t>
            </w:r>
          </w:p>
          <w:p w14:paraId="2DE8B378" w14:textId="77777777" w:rsidR="00EA31C6" w:rsidRPr="00955869" w:rsidRDefault="00EA31C6" w:rsidP="005172A8">
            <w:pPr>
              <w:spacing w:line="280" w:lineRule="exact"/>
              <w:jc w:val="center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  <w:b/>
                <w:bCs/>
              </w:rPr>
              <w:t>(% odchylenia czasu od SLA)</w:t>
            </w:r>
          </w:p>
        </w:tc>
        <w:tc>
          <w:tcPr>
            <w:tcW w:w="3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339CC79" w14:textId="77777777" w:rsidR="00EA31C6" w:rsidRPr="00955869" w:rsidRDefault="00EA31C6" w:rsidP="005172A8">
            <w:pPr>
              <w:snapToGrid w:val="0"/>
              <w:spacing w:line="280" w:lineRule="exact"/>
              <w:ind w:left="426" w:hanging="6"/>
              <w:rPr>
                <w:rFonts w:cstheme="minorHAnsi"/>
                <w:b/>
                <w:bCs/>
              </w:rPr>
            </w:pPr>
          </w:p>
          <w:p w14:paraId="6B661B8A" w14:textId="77777777" w:rsidR="00EA31C6" w:rsidRPr="00054D92" w:rsidRDefault="00EA31C6" w:rsidP="005172A8">
            <w:pPr>
              <w:spacing w:line="280" w:lineRule="exac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Poziomy obniżeń abonamentu</w:t>
            </w:r>
            <w:r w:rsidRPr="00054D92">
              <w:rPr>
                <w:rFonts w:cstheme="minorHAnsi"/>
                <w:b/>
                <w:bCs/>
              </w:rPr>
              <w:t xml:space="preserve"> jako</w:t>
            </w:r>
          </w:p>
          <w:p w14:paraId="473B7851" w14:textId="77777777" w:rsidR="00EA31C6" w:rsidRPr="00955869" w:rsidRDefault="00EA31C6" w:rsidP="005172A8">
            <w:pPr>
              <w:spacing w:line="280" w:lineRule="exact"/>
              <w:jc w:val="center"/>
              <w:rPr>
                <w:rFonts w:cstheme="minorHAnsi"/>
              </w:rPr>
            </w:pPr>
            <w:r w:rsidRPr="00054D92">
              <w:rPr>
                <w:rFonts w:cstheme="minorHAnsi"/>
                <w:b/>
                <w:bCs/>
              </w:rPr>
              <w:t>% abonamentu miesięcznego</w:t>
            </w:r>
          </w:p>
        </w:tc>
      </w:tr>
      <w:tr w:rsidR="00EA31C6" w:rsidRPr="00955869" w14:paraId="132AA2E5" w14:textId="77777777" w:rsidTr="005172A8">
        <w:trPr>
          <w:cantSplit/>
          <w:trHeight w:val="286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3CEBCBA" w14:textId="77777777" w:rsidR="00EA31C6" w:rsidRPr="00955869" w:rsidRDefault="00EA31C6" w:rsidP="005172A8">
            <w:pPr>
              <w:snapToGrid w:val="0"/>
              <w:spacing w:line="280" w:lineRule="exact"/>
              <w:ind w:hanging="142"/>
              <w:jc w:val="center"/>
              <w:rPr>
                <w:rFonts w:cstheme="minorHAnsi"/>
              </w:rPr>
            </w:pPr>
            <w:r w:rsidRPr="00955869">
              <w:rPr>
                <w:rFonts w:cstheme="minorHAnsi"/>
              </w:rPr>
              <w:t>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D2AE0B2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</w:rPr>
            </w:pPr>
            <w:r w:rsidRPr="00955869">
              <w:rPr>
                <w:rFonts w:cstheme="minorHAnsi"/>
              </w:rPr>
              <w:t>do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ADE2F" w14:textId="77777777" w:rsidR="00EA31C6" w:rsidRPr="00955869" w:rsidRDefault="00EA31C6" w:rsidP="005172A8">
            <w:pPr>
              <w:snapToGrid w:val="0"/>
              <w:spacing w:line="280" w:lineRule="exact"/>
              <w:ind w:left="426" w:hanging="6"/>
              <w:jc w:val="both"/>
              <w:rPr>
                <w:rFonts w:cstheme="minorHAnsi"/>
              </w:rPr>
            </w:pPr>
          </w:p>
        </w:tc>
      </w:tr>
      <w:tr w:rsidR="00EA31C6" w:rsidRPr="00955869" w14:paraId="6F4113D0" w14:textId="77777777" w:rsidTr="005172A8">
        <w:trPr>
          <w:cantSplit/>
          <w:trHeight w:val="38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DB4B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&gt;0,05 %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BD9D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 xml:space="preserve">0,10 % 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B030F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5%</w:t>
            </w:r>
          </w:p>
        </w:tc>
      </w:tr>
      <w:tr w:rsidR="00EA31C6" w:rsidRPr="00955869" w14:paraId="5307A4AD" w14:textId="77777777" w:rsidTr="005172A8">
        <w:trPr>
          <w:cantSplit/>
          <w:trHeight w:val="40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A209B3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&gt;0,10%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AEAAD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0,15%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AFBC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10%</w:t>
            </w:r>
          </w:p>
        </w:tc>
      </w:tr>
      <w:tr w:rsidR="00EA31C6" w:rsidRPr="00955869" w14:paraId="72C6F818" w14:textId="77777777" w:rsidTr="005172A8">
        <w:trPr>
          <w:cantSplit/>
          <w:trHeight w:val="433"/>
        </w:trPr>
        <w:tc>
          <w:tcPr>
            <w:tcW w:w="248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55178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&gt;0,15%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35384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0,20%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7D083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25%</w:t>
            </w:r>
          </w:p>
        </w:tc>
      </w:tr>
      <w:tr w:rsidR="00EA31C6" w:rsidRPr="00955869" w14:paraId="3114D874" w14:textId="77777777" w:rsidTr="005172A8">
        <w:trPr>
          <w:cantSplit/>
          <w:trHeight w:val="40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ADFF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&gt;0,20%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0472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>0,30%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F906F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de-DE"/>
              </w:rPr>
            </w:pPr>
            <w:r w:rsidRPr="00955869">
              <w:rPr>
                <w:rFonts w:cstheme="minorHAnsi"/>
                <w:lang w:val="en-US"/>
              </w:rPr>
              <w:t>50%</w:t>
            </w:r>
          </w:p>
        </w:tc>
      </w:tr>
      <w:tr w:rsidR="00EA31C6" w:rsidRPr="00955869" w14:paraId="59BDDB80" w14:textId="77777777" w:rsidTr="005172A8">
        <w:trPr>
          <w:cantSplit/>
          <w:trHeight w:val="411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0A3B9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de-DE"/>
              </w:rPr>
            </w:pPr>
            <w:r w:rsidRPr="00955869">
              <w:rPr>
                <w:rFonts w:cstheme="minorHAnsi"/>
                <w:lang w:val="de-DE"/>
              </w:rPr>
              <w:t>&gt; 0,30%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5B1EC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  <w:lang w:val="de-DE"/>
              </w:rPr>
            </w:pPr>
            <w:r w:rsidRPr="00955869">
              <w:rPr>
                <w:rFonts w:cstheme="minorHAnsi"/>
                <w:lang w:val="de-DE"/>
              </w:rPr>
              <w:t>100%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769AC" w14:textId="77777777" w:rsidR="00EA31C6" w:rsidRPr="00955869" w:rsidRDefault="00EA31C6" w:rsidP="005172A8">
            <w:pPr>
              <w:snapToGrid w:val="0"/>
              <w:spacing w:line="280" w:lineRule="exact"/>
              <w:jc w:val="center"/>
              <w:rPr>
                <w:rFonts w:cstheme="minorHAnsi"/>
              </w:rPr>
            </w:pPr>
            <w:r w:rsidRPr="00955869">
              <w:rPr>
                <w:rFonts w:cstheme="minorHAnsi"/>
                <w:lang w:val="de-DE"/>
              </w:rPr>
              <w:t>100%</w:t>
            </w:r>
          </w:p>
        </w:tc>
      </w:tr>
    </w:tbl>
    <w:p w14:paraId="639AAC8B" w14:textId="77777777" w:rsidR="00EA31C6" w:rsidRPr="00955869" w:rsidRDefault="00EA31C6" w:rsidP="00EA31C6">
      <w:pPr>
        <w:jc w:val="both"/>
        <w:rPr>
          <w:rFonts w:cstheme="minorHAnsi"/>
        </w:rPr>
      </w:pPr>
      <w:r w:rsidRPr="00955869">
        <w:rPr>
          <w:rFonts w:cstheme="minorHAnsi"/>
        </w:rPr>
        <w:t>Poziom dostępności usługi w danym miesiącu kalendarzowym będzie obliczany wg poniższego wzoru:</w:t>
      </w:r>
    </w:p>
    <w:p w14:paraId="3FDA31AE" w14:textId="77777777" w:rsidR="00EA31C6" w:rsidRPr="00955869" w:rsidRDefault="00EA31C6" w:rsidP="00EA31C6">
      <w:pPr>
        <w:jc w:val="both"/>
        <w:rPr>
          <w:rFonts w:cstheme="minorHAnsi"/>
        </w:rPr>
      </w:pPr>
    </w:p>
    <w:p w14:paraId="30B0AA3E" w14:textId="77777777" w:rsidR="00EA31C6" w:rsidRPr="00955869" w:rsidRDefault="00EA31C6" w:rsidP="00EA31C6">
      <w:pPr>
        <w:ind w:left="426" w:hanging="6"/>
        <w:rPr>
          <w:rFonts w:cstheme="minorHAnsi"/>
        </w:rPr>
      </w:pPr>
      <w:r w:rsidRPr="00955869">
        <w:rPr>
          <w:rFonts w:cstheme="minorHAnsi"/>
        </w:rPr>
        <w:tab/>
        <w:t xml:space="preserve">                                    </w:t>
      </w:r>
      <w:r>
        <w:rPr>
          <w:rFonts w:cstheme="minorHAnsi"/>
        </w:rPr>
        <w:t xml:space="preserve">              </w:t>
      </w:r>
      <w:r w:rsidRPr="00955869">
        <w:rPr>
          <w:rFonts w:cstheme="minorHAnsi"/>
        </w:rPr>
        <w:t xml:space="preserve"> Liczba godzin w danym miesiącu -   ∑(Czas trwania </w:t>
      </w:r>
      <w:proofErr w:type="spellStart"/>
      <w:r w:rsidRPr="00955869">
        <w:rPr>
          <w:rFonts w:cstheme="minorHAnsi"/>
        </w:rPr>
        <w:t>Awarii</w:t>
      </w:r>
      <w:r w:rsidRPr="00955869">
        <w:rPr>
          <w:rFonts w:cstheme="minorHAnsi"/>
          <w:vertAlign w:val="subscript"/>
        </w:rPr>
        <w:t>N</w:t>
      </w:r>
      <w:proofErr w:type="spellEnd"/>
      <w:r w:rsidRPr="00955869">
        <w:rPr>
          <w:rFonts w:cstheme="minorHAnsi"/>
        </w:rPr>
        <w:t>)</w:t>
      </w:r>
    </w:p>
    <w:p w14:paraId="047FD1B0" w14:textId="77777777" w:rsidR="00EA31C6" w:rsidRPr="00955869" w:rsidRDefault="00EA31C6" w:rsidP="00EA31C6">
      <w:pPr>
        <w:ind w:left="426" w:hanging="6"/>
        <w:rPr>
          <w:rFonts w:eastAsia="Tahoma" w:cstheme="minorHAnsi"/>
        </w:rPr>
      </w:pPr>
      <w:r w:rsidRPr="00955869"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727671" wp14:editId="4C367B95">
                <wp:simplePos x="0" y="0"/>
                <wp:positionH relativeFrom="column">
                  <wp:posOffset>1757680</wp:posOffset>
                </wp:positionH>
                <wp:positionV relativeFrom="paragraph">
                  <wp:posOffset>108584</wp:posOffset>
                </wp:positionV>
                <wp:extent cx="3667125" cy="0"/>
                <wp:effectExtent l="0" t="0" r="9525" b="19050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9AF8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pt,8.55pt" to="42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" strokeweight=".35mm">
                <v:stroke joinstyle="miter"/>
              </v:line>
            </w:pict>
          </mc:Fallback>
        </mc:AlternateContent>
      </w:r>
      <w:r w:rsidRPr="00955869">
        <w:rPr>
          <w:rFonts w:cstheme="minorHAnsi"/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12FD540" wp14:editId="0314D517">
                <wp:simplePos x="0" y="0"/>
                <wp:positionH relativeFrom="column">
                  <wp:posOffset>270509</wp:posOffset>
                </wp:positionH>
                <wp:positionV relativeFrom="paragraph">
                  <wp:posOffset>-3314066</wp:posOffset>
                </wp:positionV>
                <wp:extent cx="0" cy="0"/>
                <wp:effectExtent l="0" t="0" r="0" b="0"/>
                <wp:wrapNone/>
                <wp:docPr id="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9426" id="Łącznik prosty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.3pt,-260.95pt" to="21.3pt,-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Pr="00955869">
        <w:rPr>
          <w:rFonts w:cstheme="minorHAnsi"/>
        </w:rPr>
        <w:t xml:space="preserve">Poziom dostępności  =                                               </w:t>
      </w:r>
    </w:p>
    <w:p w14:paraId="369BF327" w14:textId="77777777" w:rsidR="00EA31C6" w:rsidRPr="00955869" w:rsidRDefault="00EA31C6" w:rsidP="00EA31C6">
      <w:pPr>
        <w:ind w:left="3046" w:firstLine="884"/>
        <w:rPr>
          <w:rFonts w:cstheme="minorHAnsi"/>
        </w:rPr>
      </w:pPr>
      <w:r w:rsidRPr="00955869">
        <w:rPr>
          <w:rFonts w:eastAsia="Tahoma" w:cstheme="minorHAnsi"/>
        </w:rPr>
        <w:t xml:space="preserve">     </w:t>
      </w:r>
      <w:r w:rsidRPr="00955869">
        <w:rPr>
          <w:rFonts w:cstheme="minorHAnsi"/>
        </w:rPr>
        <w:t>Liczba godzin w danym miesiącu</w:t>
      </w:r>
    </w:p>
    <w:p w14:paraId="17CBEB13" w14:textId="77777777" w:rsidR="00EA31C6" w:rsidRPr="00955869" w:rsidRDefault="00EA31C6" w:rsidP="00EA31C6">
      <w:pPr>
        <w:spacing w:line="240" w:lineRule="auto"/>
        <w:ind w:left="426" w:hanging="6"/>
        <w:rPr>
          <w:rFonts w:cstheme="minorHAnsi"/>
          <w:sz w:val="16"/>
          <w:szCs w:val="16"/>
        </w:rPr>
      </w:pPr>
      <w:r w:rsidRPr="00955869">
        <w:rPr>
          <w:rFonts w:cstheme="minorHAnsi"/>
          <w:sz w:val="16"/>
          <w:szCs w:val="16"/>
        </w:rPr>
        <w:t>gdzie:</w:t>
      </w:r>
    </w:p>
    <w:p w14:paraId="0505EB75" w14:textId="77777777" w:rsidR="00EA31C6" w:rsidRPr="00955869" w:rsidRDefault="00EA31C6" w:rsidP="00EA31C6">
      <w:pPr>
        <w:spacing w:line="240" w:lineRule="auto"/>
        <w:ind w:left="2694" w:hanging="2274"/>
        <w:rPr>
          <w:rFonts w:eastAsia="Tahoma" w:cstheme="minorHAnsi"/>
          <w:sz w:val="16"/>
          <w:szCs w:val="16"/>
        </w:rPr>
      </w:pPr>
      <w:r w:rsidRPr="00955869">
        <w:rPr>
          <w:rFonts w:cstheme="minorHAnsi"/>
          <w:sz w:val="16"/>
          <w:szCs w:val="16"/>
        </w:rPr>
        <w:t>Liczba godzin w danym miesiącu – całkowita liczba godzin zależna od liczby dni w danym miesiącu (np. 30 dni = 720 h)</w:t>
      </w:r>
    </w:p>
    <w:p w14:paraId="4F2699C8" w14:textId="77777777" w:rsidR="00EA31C6" w:rsidRPr="00955869" w:rsidRDefault="00EA31C6" w:rsidP="00EA31C6">
      <w:pPr>
        <w:spacing w:line="240" w:lineRule="auto"/>
        <w:ind w:left="2127" w:hanging="1701"/>
        <w:rPr>
          <w:rFonts w:cstheme="minorHAnsi"/>
        </w:rPr>
      </w:pPr>
      <w:r w:rsidRPr="00955869">
        <w:rPr>
          <w:rFonts w:eastAsia="Tahoma" w:cstheme="minorHAnsi"/>
          <w:sz w:val="16"/>
          <w:szCs w:val="16"/>
        </w:rPr>
        <w:t>∑</w:t>
      </w:r>
      <w:r w:rsidRPr="00955869">
        <w:rPr>
          <w:rFonts w:cstheme="minorHAnsi"/>
          <w:sz w:val="16"/>
          <w:szCs w:val="16"/>
        </w:rPr>
        <w:t>(Czas trwania Awarii) – suma Czasów trwania poszczególnych Awarii, które miały miejsce w ciągu danego miesiąca. Jest równoznaczny z sumą czasów przerwy w dostępie do Internetu dla urzędu,  a nie z czasami awarii jednego</w:t>
      </w:r>
      <w:r w:rsidRPr="00955869">
        <w:rPr>
          <w:rFonts w:cstheme="minorHAnsi"/>
          <w:sz w:val="16"/>
          <w:szCs w:val="16"/>
        </w:rPr>
        <w:br/>
        <w:t>z łączy</w:t>
      </w:r>
      <w:r w:rsidRPr="00955869">
        <w:rPr>
          <w:rFonts w:cstheme="minorHAnsi"/>
        </w:rPr>
        <w:t xml:space="preserve">     </w:t>
      </w:r>
    </w:p>
    <w:p w14:paraId="16E662ED" w14:textId="77777777" w:rsidR="00EA31C6" w:rsidRPr="00955869" w:rsidRDefault="00EA31C6" w:rsidP="00EA31C6">
      <w:pPr>
        <w:jc w:val="both"/>
        <w:rPr>
          <w:rFonts w:cstheme="minorHAnsi"/>
        </w:rPr>
      </w:pPr>
    </w:p>
    <w:p w14:paraId="1F6DECB3" w14:textId="77777777" w:rsidR="00EA31C6" w:rsidRPr="00955869" w:rsidRDefault="00EA31C6" w:rsidP="00EA31C6">
      <w:pPr>
        <w:spacing w:line="360" w:lineRule="auto"/>
        <w:jc w:val="both"/>
        <w:rPr>
          <w:rFonts w:eastAsia="Times New Roman" w:cstheme="minorHAnsi"/>
          <w:sz w:val="20"/>
          <w:szCs w:val="20"/>
        </w:rPr>
      </w:pPr>
      <w:r w:rsidRPr="00955869">
        <w:rPr>
          <w:rFonts w:cstheme="minorHAnsi"/>
        </w:rPr>
        <w:t>Na wskaźnik SLA nie wpływają przerwy w świadczeniu usług z uwagi na prace planowe ze strony Wykonawcy. Zagadnienia z pracami planowymi muszą wyglądać następująco:</w:t>
      </w:r>
    </w:p>
    <w:p w14:paraId="571E5742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1. </w:t>
      </w:r>
      <w:r w:rsidRPr="00955869">
        <w:rPr>
          <w:rFonts w:eastAsia="Times New Roman" w:cstheme="minorHAnsi"/>
        </w:rPr>
        <w:t>Wykonawca będzie powiadamiać Zamawiającego o planowanej rozbudowie, okresowych przeglądach i modernizacji istniejącej infrastruktury, nie później niż na 10 dni roboczych przed planowanym terminem rozpoczęcia prac, jeżeli zdarzenia te będą miały wpływ na prawidłowe świadczenie usług na rzecz Zamawiającego.</w:t>
      </w:r>
    </w:p>
    <w:p w14:paraId="42065CB6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 xml:space="preserve">2. </w:t>
      </w:r>
      <w:r>
        <w:rPr>
          <w:rFonts w:eastAsia="Times New Roman" w:cstheme="minorHAnsi"/>
        </w:rPr>
        <w:t xml:space="preserve"> </w:t>
      </w:r>
      <w:r w:rsidRPr="00955869">
        <w:rPr>
          <w:rFonts w:eastAsia="Times New Roman" w:cstheme="minorHAnsi"/>
        </w:rPr>
        <w:t>Informacja o Pracach planowych będzie określać przedmiot prac oraz:</w:t>
      </w:r>
    </w:p>
    <w:p w14:paraId="091F94E0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>- datę i godzinę rozpoczęcia i zakończenia Prac planowych,</w:t>
      </w:r>
    </w:p>
    <w:p w14:paraId="1B9F184A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>- charakter i krótki opis prac planowanych,</w:t>
      </w:r>
    </w:p>
    <w:p w14:paraId="41738A3A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>- możliwy wpływ na świadczone Usługi,</w:t>
      </w:r>
    </w:p>
    <w:p w14:paraId="088AA785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>- numery kontaktowe do osób przeprowadzających Prace planowane, z którymi należy kontaktować się w razie potrzeby.</w:t>
      </w:r>
    </w:p>
    <w:p w14:paraId="4A4941A1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lastRenderedPageBreak/>
        <w:t>3. Wykonawca przeprowadzając prace planowe zapewni utrzymanie ruchu telekomunikacyjnego.</w:t>
      </w:r>
      <w:r w:rsidRPr="00955869">
        <w:rPr>
          <w:rFonts w:eastAsia="Times New Roman" w:cstheme="minorHAnsi"/>
        </w:rPr>
        <w:br/>
        <w:t>W przypadku, gdy nie ma możliwości zapewnienia ciągłości świadczenia Usług, a planowane zawieszenie ruchu jest nieuniknione, prace planowe powinny być wykonane w porze najmniejszego ruchu międzysieciowego w godzinach 2:00-6:00.</w:t>
      </w:r>
    </w:p>
    <w:p w14:paraId="77678CAF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>4. Prace planowe będą wykonywane w godzinach 2:00 – 06:00. Prowadzenie prac planowych nie może trwać jednorazowo dłużej niż 4 godzin. Dopuszcza się przeprowadzanie takich prac nie częściej niż jeden raz w miesiącu, przy czym nie częściej niż 6 razy w roku, zaś łączny czas prowadzenia prac planowych nie może przekroczyć 12 godzin.</w:t>
      </w:r>
    </w:p>
    <w:p w14:paraId="5A8D158D" w14:textId="77777777" w:rsidR="00EA31C6" w:rsidRPr="00955869" w:rsidRDefault="00EA31C6" w:rsidP="00EA31C6">
      <w:pPr>
        <w:spacing w:after="0" w:line="360" w:lineRule="auto"/>
        <w:jc w:val="both"/>
        <w:rPr>
          <w:rFonts w:eastAsia="Times New Roman" w:cstheme="minorHAnsi"/>
        </w:rPr>
      </w:pPr>
      <w:r w:rsidRPr="00955869">
        <w:rPr>
          <w:rFonts w:eastAsia="Times New Roman" w:cstheme="minorHAnsi"/>
        </w:rPr>
        <w:t>5. Czas trwania prac planowych nie wlicza się do sumy czasów przerwy w dostępie do Internetu</w:t>
      </w:r>
      <w:r w:rsidRPr="00955869">
        <w:rPr>
          <w:rFonts w:eastAsia="Times New Roman" w:cstheme="minorHAnsi"/>
        </w:rPr>
        <w:br/>
        <w:t xml:space="preserve">w skali miesiąca, jednak czas trwania prac planowych przekraczający wymogi wskazane </w:t>
      </w:r>
      <w:r>
        <w:rPr>
          <w:rFonts w:eastAsia="Times New Roman" w:cstheme="minorHAnsi"/>
        </w:rPr>
        <w:br/>
      </w:r>
      <w:r w:rsidRPr="00955869">
        <w:rPr>
          <w:rFonts w:eastAsia="Times New Roman" w:cstheme="minorHAnsi"/>
        </w:rPr>
        <w:t>w pkt. 4  opisu SLA jest wliczany do sumy tych czasów.</w:t>
      </w:r>
    </w:p>
    <w:p w14:paraId="7180A55A" w14:textId="77777777" w:rsidR="00EA31C6" w:rsidRPr="00955869" w:rsidRDefault="00EA31C6" w:rsidP="00EA31C6">
      <w:pPr>
        <w:jc w:val="both"/>
        <w:rPr>
          <w:rFonts w:cstheme="minorHAnsi"/>
        </w:rPr>
      </w:pPr>
    </w:p>
    <w:p w14:paraId="6F545372" w14:textId="77777777" w:rsidR="00EA31C6" w:rsidRPr="00955869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11123008" w14:textId="77777777" w:rsidR="00EA31C6" w:rsidRPr="00955869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1C960E0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25962D2B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D4FA285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431A6EE8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681D82A9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4F2A7911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2B735BB1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39158F7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7A0EB007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2083F481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147CB5D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3A5161BD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5F1F56EB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505650B5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1A6319B5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66DDE215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69373BB5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6FA872B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7CD8DC2F" w14:textId="77777777" w:rsidR="00034F8A" w:rsidRDefault="00034F8A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54202C20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7149A79B" w14:textId="77777777" w:rsidR="00EA31C6" w:rsidRPr="00955869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955869">
        <w:rPr>
          <w:rFonts w:cstheme="minorHAnsi"/>
          <w:b/>
          <w:bCs/>
          <w:color w:val="000000"/>
        </w:rPr>
        <w:lastRenderedPageBreak/>
        <w:t>ZAŁĄCZNIK Nr 2</w:t>
      </w:r>
    </w:p>
    <w:p w14:paraId="31AFD94C" w14:textId="77777777" w:rsidR="00EA31C6" w:rsidRPr="00955869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</w:tblGrid>
      <w:tr w:rsidR="00EA31C6" w:rsidRPr="00955869" w14:paraId="4A490B8D" w14:textId="77777777" w:rsidTr="005172A8">
        <w:trPr>
          <w:trHeight w:val="514"/>
        </w:trPr>
        <w:tc>
          <w:tcPr>
            <w:tcW w:w="7479" w:type="dxa"/>
            <w:vAlign w:val="center"/>
          </w:tcPr>
          <w:p w14:paraId="42301958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955869">
              <w:rPr>
                <w:rFonts w:cstheme="minorHAnsi"/>
                <w:b/>
                <w:bCs/>
                <w:color w:val="000000"/>
              </w:rPr>
              <w:t>Kluczowe kontakty Operatora</w:t>
            </w:r>
          </w:p>
        </w:tc>
      </w:tr>
      <w:tr w:rsidR="00EA31C6" w:rsidRPr="00955869" w14:paraId="5FCCF1B0" w14:textId="77777777" w:rsidTr="005172A8">
        <w:trPr>
          <w:trHeight w:val="5292"/>
        </w:trPr>
        <w:tc>
          <w:tcPr>
            <w:tcW w:w="7479" w:type="dxa"/>
          </w:tcPr>
          <w:p w14:paraId="6F4CFE1B" w14:textId="77777777" w:rsidR="00EA31C6" w:rsidRPr="00955869" w:rsidRDefault="00EA31C6" w:rsidP="005172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77BD427F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</w:rPr>
            </w:pPr>
            <w:r w:rsidRPr="00955869">
              <w:rPr>
                <w:rFonts w:cstheme="minorHAnsi"/>
                <w:b/>
              </w:rPr>
              <w:t>Administrator</w:t>
            </w:r>
          </w:p>
          <w:p w14:paraId="32AD0989" w14:textId="77777777" w:rsidR="00EA31C6" w:rsidRPr="00955869" w:rsidRDefault="00EA31C6" w:rsidP="005172A8">
            <w:pPr>
              <w:rPr>
                <w:rFonts w:eastAsia="Times New Roman" w:cstheme="minorHAnsi"/>
                <w:bCs/>
              </w:rPr>
            </w:pPr>
            <w:r w:rsidRPr="00955869">
              <w:rPr>
                <w:rFonts w:eastAsia="Times New Roman" w:cstheme="minorHAnsi"/>
              </w:rPr>
              <w:t>Imię i Nazwisko                ………………...</w:t>
            </w:r>
            <w:r w:rsidRPr="00955869">
              <w:rPr>
                <w:rFonts w:eastAsia="Times New Roman" w:cstheme="minorHAnsi"/>
                <w:bCs/>
              </w:rPr>
              <w:t>..........................</w:t>
            </w:r>
            <w:r w:rsidRPr="00955869">
              <w:rPr>
                <w:rFonts w:eastAsia="Times New Roman" w:cstheme="minorHAnsi"/>
              </w:rPr>
              <w:t>………..........</w:t>
            </w:r>
          </w:p>
          <w:p w14:paraId="335388F0" w14:textId="052B905A" w:rsidR="00EA31C6" w:rsidRPr="00955869" w:rsidRDefault="00EA31C6" w:rsidP="005172A8">
            <w:pPr>
              <w:rPr>
                <w:rFonts w:eastAsia="Times New Roman" w:cstheme="minorHAnsi"/>
              </w:rPr>
            </w:pPr>
            <w:r w:rsidRPr="00955869">
              <w:rPr>
                <w:rFonts w:eastAsia="Times New Roman" w:cstheme="minorHAnsi"/>
              </w:rPr>
              <w:t xml:space="preserve">Telefon </w:t>
            </w:r>
            <w:r w:rsidR="00034F8A">
              <w:rPr>
                <w:rFonts w:eastAsia="Times New Roman" w:cstheme="minorHAnsi"/>
              </w:rPr>
              <w:t xml:space="preserve">        </w:t>
            </w:r>
            <w:r w:rsidRPr="00955869">
              <w:rPr>
                <w:rFonts w:eastAsia="Times New Roman" w:cstheme="minorHAnsi"/>
              </w:rPr>
              <w:t>                    ……………………</w:t>
            </w:r>
            <w:r w:rsidRPr="00955869">
              <w:rPr>
                <w:rFonts w:eastAsia="Times New Roman" w:cstheme="minorHAnsi"/>
                <w:bCs/>
              </w:rPr>
              <w:t>…………….</w:t>
            </w:r>
            <w:r w:rsidRPr="00955869">
              <w:rPr>
                <w:rFonts w:eastAsia="Times New Roman" w:cstheme="minorHAnsi"/>
              </w:rPr>
              <w:t>……………..</w:t>
            </w:r>
          </w:p>
          <w:p w14:paraId="26B9338F" w14:textId="77777777" w:rsidR="00EA31C6" w:rsidRPr="00955869" w:rsidRDefault="00EA31C6" w:rsidP="005172A8">
            <w:pPr>
              <w:rPr>
                <w:rFonts w:eastAsia="Times New Roman" w:cstheme="minorHAnsi"/>
                <w:bCs/>
                <w:color w:val="000000"/>
              </w:rPr>
            </w:pPr>
            <w:r w:rsidRPr="00955869">
              <w:rPr>
                <w:rFonts w:eastAsia="Times New Roman" w:cstheme="minorHAnsi"/>
              </w:rPr>
              <w:t>E-mail                               ………………</w:t>
            </w:r>
            <w:r w:rsidRPr="00955869">
              <w:rPr>
                <w:rFonts w:eastAsia="Times New Roman" w:cstheme="minorHAnsi"/>
                <w:bCs/>
              </w:rPr>
              <w:t>………………….</w:t>
            </w:r>
            <w:r w:rsidRPr="00955869">
              <w:rPr>
                <w:rFonts w:eastAsia="Times New Roman" w:cstheme="minorHAnsi"/>
              </w:rPr>
              <w:t>……...............</w:t>
            </w:r>
          </w:p>
          <w:p w14:paraId="29FBBCA8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39814C5A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305AF1F0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55869">
              <w:rPr>
                <w:rFonts w:cstheme="minorHAnsi"/>
                <w:b/>
                <w:bCs/>
                <w:color w:val="000000"/>
              </w:rPr>
              <w:t>Biuro Obsługi Użytkownika</w:t>
            </w:r>
          </w:p>
          <w:p w14:paraId="2C00447A" w14:textId="77777777" w:rsidR="00EA31C6" w:rsidRPr="00955869" w:rsidRDefault="00EA31C6" w:rsidP="005172A8">
            <w:pPr>
              <w:rPr>
                <w:rFonts w:eastAsia="Times New Roman" w:cstheme="minorHAnsi"/>
                <w:b/>
                <w:bCs/>
              </w:rPr>
            </w:pPr>
            <w:r w:rsidRPr="00955869">
              <w:rPr>
                <w:rFonts w:eastAsia="Times New Roman" w:cstheme="minorHAnsi"/>
              </w:rPr>
              <w:t>Imię i Nazwisko                 …………………</w:t>
            </w:r>
            <w:r w:rsidRPr="00955869">
              <w:rPr>
                <w:rFonts w:eastAsia="Times New Roman" w:cstheme="minorHAnsi"/>
                <w:bCs/>
              </w:rPr>
              <w:t>………………</w:t>
            </w:r>
            <w:r w:rsidRPr="00955869">
              <w:rPr>
                <w:rFonts w:eastAsia="Times New Roman" w:cstheme="minorHAnsi"/>
              </w:rPr>
              <w:t>…………....</w:t>
            </w:r>
          </w:p>
          <w:p w14:paraId="214FD051" w14:textId="3D60A1C4" w:rsidR="00EA31C6" w:rsidRPr="00955869" w:rsidRDefault="00EA31C6" w:rsidP="005172A8">
            <w:pPr>
              <w:rPr>
                <w:rFonts w:eastAsia="Times New Roman" w:cstheme="minorHAnsi"/>
              </w:rPr>
            </w:pPr>
            <w:r w:rsidRPr="00955869">
              <w:rPr>
                <w:rFonts w:eastAsia="Times New Roman" w:cstheme="minorHAnsi"/>
              </w:rPr>
              <w:t xml:space="preserve">Telefon </w:t>
            </w:r>
            <w:r w:rsidR="00034F8A">
              <w:rPr>
                <w:rFonts w:eastAsia="Times New Roman" w:cstheme="minorHAnsi"/>
              </w:rPr>
              <w:t xml:space="preserve">             </w:t>
            </w:r>
            <w:r w:rsidRPr="00955869">
              <w:rPr>
                <w:rFonts w:eastAsia="Times New Roman" w:cstheme="minorHAnsi"/>
              </w:rPr>
              <w:t>               …………………</w:t>
            </w:r>
            <w:r w:rsidRPr="00955869">
              <w:rPr>
                <w:rFonts w:eastAsia="Times New Roman" w:cstheme="minorHAnsi"/>
                <w:bCs/>
              </w:rPr>
              <w:t>……………….</w:t>
            </w:r>
            <w:r w:rsidRPr="00955869">
              <w:rPr>
                <w:rFonts w:eastAsia="Times New Roman" w:cstheme="minorHAnsi"/>
              </w:rPr>
              <w:t>…………....</w:t>
            </w:r>
          </w:p>
          <w:p w14:paraId="0DF77EA8" w14:textId="77777777" w:rsidR="00EA31C6" w:rsidRPr="00955869" w:rsidRDefault="00EA31C6" w:rsidP="005172A8">
            <w:pPr>
              <w:rPr>
                <w:rFonts w:eastAsia="Times New Roman" w:cstheme="minorHAnsi"/>
              </w:rPr>
            </w:pPr>
            <w:r w:rsidRPr="00955869">
              <w:rPr>
                <w:rFonts w:eastAsia="Times New Roman" w:cstheme="minorHAnsi"/>
              </w:rPr>
              <w:t>E-mail                                ………………</w:t>
            </w:r>
            <w:r w:rsidRPr="00955869">
              <w:rPr>
                <w:rFonts w:eastAsia="Times New Roman" w:cstheme="minorHAnsi"/>
                <w:bCs/>
              </w:rPr>
              <w:t>……………..……..</w:t>
            </w:r>
            <w:r w:rsidRPr="00955869">
              <w:rPr>
                <w:rFonts w:eastAsia="Times New Roman" w:cstheme="minorHAnsi"/>
              </w:rPr>
              <w:t>……….…</w:t>
            </w:r>
          </w:p>
          <w:p w14:paraId="6AC2B497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4A970296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1E4B0664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55869">
              <w:rPr>
                <w:rFonts w:cstheme="minorHAnsi"/>
                <w:b/>
                <w:bCs/>
                <w:color w:val="000000"/>
              </w:rPr>
              <w:t>Dział Techniczny</w:t>
            </w:r>
          </w:p>
          <w:p w14:paraId="3F40F242" w14:textId="77777777" w:rsidR="00EA31C6" w:rsidRPr="00955869" w:rsidRDefault="00EA31C6" w:rsidP="005172A8">
            <w:pPr>
              <w:rPr>
                <w:rFonts w:eastAsia="Times New Roman" w:cstheme="minorHAnsi"/>
                <w:bCs/>
              </w:rPr>
            </w:pPr>
            <w:r w:rsidRPr="00955869">
              <w:rPr>
                <w:rFonts w:eastAsia="Times New Roman" w:cstheme="minorHAnsi"/>
              </w:rPr>
              <w:t>Imię i Nazwisko                …………………</w:t>
            </w:r>
            <w:r w:rsidRPr="00955869">
              <w:rPr>
                <w:rFonts w:eastAsia="Times New Roman" w:cstheme="minorHAnsi"/>
                <w:bCs/>
              </w:rPr>
              <w:t>……………….</w:t>
            </w:r>
            <w:r w:rsidRPr="00955869">
              <w:rPr>
                <w:rFonts w:eastAsia="Times New Roman" w:cstheme="minorHAnsi"/>
              </w:rPr>
              <w:t>………………</w:t>
            </w:r>
          </w:p>
          <w:p w14:paraId="399AB634" w14:textId="10172D54" w:rsidR="00EA31C6" w:rsidRPr="00955869" w:rsidRDefault="00EA31C6" w:rsidP="005172A8">
            <w:pPr>
              <w:rPr>
                <w:rFonts w:eastAsia="Times New Roman" w:cstheme="minorHAnsi"/>
              </w:rPr>
            </w:pPr>
            <w:r w:rsidRPr="00955869">
              <w:rPr>
                <w:rFonts w:eastAsia="Times New Roman" w:cstheme="minorHAnsi"/>
              </w:rPr>
              <w:t xml:space="preserve">Telefon </w:t>
            </w:r>
            <w:r w:rsidR="00034F8A">
              <w:rPr>
                <w:rFonts w:eastAsia="Times New Roman" w:cstheme="minorHAnsi"/>
              </w:rPr>
              <w:t xml:space="preserve">       </w:t>
            </w:r>
            <w:r w:rsidRPr="00955869">
              <w:rPr>
                <w:rFonts w:eastAsia="Times New Roman" w:cstheme="minorHAnsi"/>
              </w:rPr>
              <w:t>                    …………….……</w:t>
            </w:r>
            <w:r w:rsidRPr="00955869">
              <w:rPr>
                <w:rFonts w:eastAsia="Times New Roman" w:cstheme="minorHAnsi"/>
                <w:bCs/>
              </w:rPr>
              <w:t>………………</w:t>
            </w:r>
            <w:r w:rsidRPr="00955869">
              <w:rPr>
                <w:rFonts w:eastAsia="Times New Roman" w:cstheme="minorHAnsi"/>
              </w:rPr>
              <w:t>………………</w:t>
            </w:r>
          </w:p>
          <w:p w14:paraId="7F4CB5C3" w14:textId="77777777" w:rsidR="00EA31C6" w:rsidRPr="00955869" w:rsidRDefault="00EA31C6" w:rsidP="005172A8">
            <w:pPr>
              <w:rPr>
                <w:rFonts w:eastAsia="Times New Roman" w:cstheme="minorHAnsi"/>
                <w:lang w:val="en-US"/>
              </w:rPr>
            </w:pPr>
            <w:r w:rsidRPr="00955869">
              <w:rPr>
                <w:rFonts w:eastAsia="Times New Roman" w:cstheme="minorHAnsi"/>
                <w:lang w:val="en-US"/>
              </w:rPr>
              <w:t>E-mail                               ……………...</w:t>
            </w:r>
            <w:r w:rsidRPr="00955869">
              <w:rPr>
                <w:rFonts w:eastAsia="Times New Roman" w:cstheme="minorHAnsi"/>
                <w:bCs/>
                <w:lang w:val="en-US"/>
              </w:rPr>
              <w:t>......................................</w:t>
            </w:r>
            <w:r w:rsidRPr="00955869">
              <w:rPr>
                <w:rFonts w:eastAsia="Times New Roman" w:cstheme="minorHAnsi"/>
                <w:lang w:val="en-US"/>
              </w:rPr>
              <w:t>………....</w:t>
            </w:r>
          </w:p>
          <w:p w14:paraId="3CE607FB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460CE0B" w14:textId="77777777" w:rsidR="00EA31C6" w:rsidRDefault="00EA31C6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</w:rPr>
      </w:pPr>
    </w:p>
    <w:p w14:paraId="68928900" w14:textId="77777777" w:rsidR="00034F8A" w:rsidRDefault="00034F8A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</w:rPr>
      </w:pPr>
    </w:p>
    <w:p w14:paraId="5BAA4876" w14:textId="77777777" w:rsidR="00034F8A" w:rsidRDefault="00034F8A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</w:rPr>
      </w:pPr>
    </w:p>
    <w:p w14:paraId="67328B70" w14:textId="77777777" w:rsidR="00034F8A" w:rsidRDefault="00034F8A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</w:rPr>
      </w:pPr>
    </w:p>
    <w:p w14:paraId="6B6C599A" w14:textId="77777777" w:rsidR="00034F8A" w:rsidRDefault="00034F8A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</w:rPr>
      </w:pPr>
    </w:p>
    <w:p w14:paraId="0F14E6BF" w14:textId="77777777" w:rsidR="00034F8A" w:rsidRPr="00955869" w:rsidRDefault="00034F8A" w:rsidP="00EA31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38"/>
      </w:tblGrid>
      <w:tr w:rsidR="00EA31C6" w:rsidRPr="00955869" w14:paraId="02B8A985" w14:textId="77777777" w:rsidTr="005172A8">
        <w:trPr>
          <w:trHeight w:val="514"/>
        </w:trPr>
        <w:tc>
          <w:tcPr>
            <w:tcW w:w="7438" w:type="dxa"/>
            <w:vAlign w:val="center"/>
          </w:tcPr>
          <w:p w14:paraId="20CD656C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955869">
              <w:rPr>
                <w:rFonts w:cstheme="minorHAnsi"/>
                <w:b/>
                <w:bCs/>
                <w:color w:val="000000"/>
              </w:rPr>
              <w:lastRenderedPageBreak/>
              <w:t>Kluczowe kontakty Abonenta</w:t>
            </w:r>
          </w:p>
        </w:tc>
      </w:tr>
      <w:tr w:rsidR="00EA31C6" w:rsidRPr="00955869" w14:paraId="21F36B92" w14:textId="77777777" w:rsidTr="005172A8">
        <w:trPr>
          <w:trHeight w:val="4417"/>
        </w:trPr>
        <w:tc>
          <w:tcPr>
            <w:tcW w:w="7438" w:type="dxa"/>
          </w:tcPr>
          <w:p w14:paraId="014BF929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  <w:p w14:paraId="5AA242F5" w14:textId="5D91DE4F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  <w:b/>
                <w:bCs/>
              </w:rPr>
              <w:t xml:space="preserve">Departament </w:t>
            </w:r>
            <w:r w:rsidR="00034F8A">
              <w:rPr>
                <w:rFonts w:cstheme="minorHAnsi"/>
                <w:b/>
                <w:bCs/>
              </w:rPr>
              <w:t>Cyfryzacji</w:t>
            </w:r>
          </w:p>
          <w:p w14:paraId="1DEF9029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</w:rPr>
              <w:t xml:space="preserve">Imię i Nazwisko                </w:t>
            </w:r>
            <w:r w:rsidRPr="00955869">
              <w:rPr>
                <w:rFonts w:cstheme="minorHAnsi"/>
                <w:b/>
              </w:rPr>
              <w:t>GRZEGORZ STELMASZEK</w:t>
            </w:r>
          </w:p>
          <w:p w14:paraId="0A7A2F7E" w14:textId="37384129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955869">
              <w:rPr>
                <w:rFonts w:cstheme="minorHAnsi"/>
                <w:lang w:val="en-US"/>
              </w:rPr>
              <w:t>Telefon</w:t>
            </w:r>
            <w:proofErr w:type="spellEnd"/>
            <w:r w:rsidRPr="00955869">
              <w:rPr>
                <w:rFonts w:cstheme="minorHAnsi"/>
                <w:lang w:val="en-US"/>
              </w:rPr>
              <w:t xml:space="preserve"> </w:t>
            </w:r>
            <w:r w:rsidR="00034F8A">
              <w:rPr>
                <w:rFonts w:cstheme="minorHAnsi"/>
                <w:lang w:val="en-US"/>
              </w:rPr>
              <w:t xml:space="preserve">    </w:t>
            </w:r>
            <w:r w:rsidRPr="00955869">
              <w:rPr>
                <w:rFonts w:cstheme="minorHAnsi"/>
                <w:lang w:val="en-US"/>
              </w:rPr>
              <w:t xml:space="preserve">                     </w:t>
            </w:r>
            <w:r w:rsidRPr="00955869">
              <w:rPr>
                <w:rFonts w:cstheme="minorHAnsi"/>
                <w:b/>
                <w:lang w:val="en-US"/>
              </w:rPr>
              <w:t>0 85 66 54 500</w:t>
            </w:r>
          </w:p>
          <w:p w14:paraId="0C7CA9E7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 xml:space="preserve">E-mail                             </w:t>
            </w:r>
            <w:r w:rsidRPr="00955869">
              <w:rPr>
                <w:rFonts w:cstheme="minorHAnsi"/>
                <w:b/>
                <w:lang w:val="en-US"/>
              </w:rPr>
              <w:t>grzegorz.stelmaszek@podlaskie.eu</w:t>
            </w:r>
          </w:p>
          <w:p w14:paraId="258EAE14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  <w:b/>
                <w:bCs/>
              </w:rPr>
              <w:t>Referat Wojewódzkiej Sieci Szerokopasmowej</w:t>
            </w:r>
          </w:p>
          <w:p w14:paraId="6DB900B7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</w:rPr>
              <w:t xml:space="preserve">Imię i Nazwisko                  </w:t>
            </w:r>
            <w:r w:rsidRPr="00955869">
              <w:rPr>
                <w:rFonts w:cstheme="minorHAnsi"/>
                <w:b/>
              </w:rPr>
              <w:t>Robert Tymiński</w:t>
            </w:r>
          </w:p>
          <w:p w14:paraId="6D5D694F" w14:textId="35F84E1F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955869">
              <w:rPr>
                <w:rFonts w:cstheme="minorHAnsi"/>
                <w:lang w:val="en-US"/>
              </w:rPr>
              <w:t>Telefon</w:t>
            </w:r>
            <w:proofErr w:type="spellEnd"/>
            <w:r w:rsidRPr="00955869">
              <w:rPr>
                <w:rFonts w:cstheme="minorHAnsi"/>
                <w:lang w:val="en-US"/>
              </w:rPr>
              <w:t xml:space="preserve"> </w:t>
            </w:r>
            <w:r w:rsidR="00034F8A">
              <w:rPr>
                <w:rFonts w:cstheme="minorHAnsi"/>
                <w:lang w:val="en-US"/>
              </w:rPr>
              <w:t xml:space="preserve">      </w:t>
            </w:r>
            <w:r w:rsidRPr="00955869">
              <w:rPr>
                <w:rFonts w:cstheme="minorHAnsi"/>
                <w:lang w:val="en-US"/>
              </w:rPr>
              <w:t xml:space="preserve">                       </w:t>
            </w:r>
            <w:r w:rsidRPr="00955869">
              <w:rPr>
                <w:rFonts w:cstheme="minorHAnsi"/>
                <w:b/>
                <w:lang w:val="en-US"/>
              </w:rPr>
              <w:t>0 85 66 54 176</w:t>
            </w:r>
          </w:p>
          <w:p w14:paraId="339DED37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 xml:space="preserve">E-mail                               </w:t>
            </w:r>
            <w:r w:rsidRPr="00955869">
              <w:rPr>
                <w:rFonts w:cstheme="minorHAnsi"/>
                <w:b/>
                <w:lang w:val="en-US"/>
              </w:rPr>
              <w:t>robert.tyminski@podlaskie.eu</w:t>
            </w:r>
          </w:p>
          <w:p w14:paraId="4CA23803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lang w:val="en-US"/>
              </w:rPr>
            </w:pPr>
          </w:p>
          <w:p w14:paraId="064BAD8D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955869">
              <w:rPr>
                <w:rFonts w:cstheme="minorHAnsi"/>
                <w:b/>
                <w:bCs/>
                <w:lang w:val="en-US"/>
              </w:rPr>
              <w:t xml:space="preserve">                                              </w:t>
            </w:r>
            <w:r w:rsidRPr="00955869">
              <w:rPr>
                <w:rFonts w:cstheme="minorHAnsi"/>
                <w:b/>
                <w:bCs/>
              </w:rPr>
              <w:t>Centrum nadzoru sieci SSPW</w:t>
            </w:r>
          </w:p>
          <w:p w14:paraId="204DA143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955869">
              <w:rPr>
                <w:rFonts w:cstheme="minorHAnsi"/>
              </w:rPr>
              <w:t xml:space="preserve">Telefon                                 </w:t>
            </w:r>
            <w:r w:rsidRPr="00955869">
              <w:rPr>
                <w:rFonts w:cstheme="minorHAnsi"/>
                <w:b/>
              </w:rPr>
              <w:t>0 85 66 54 606</w:t>
            </w:r>
          </w:p>
          <w:p w14:paraId="5D30532A" w14:textId="77777777" w:rsidR="00EA31C6" w:rsidRPr="00955869" w:rsidRDefault="00EA31C6" w:rsidP="005172A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955869">
              <w:rPr>
                <w:rFonts w:cstheme="minorHAnsi"/>
                <w:lang w:val="en-US"/>
              </w:rPr>
              <w:t xml:space="preserve">E-mail                                   </w:t>
            </w:r>
            <w:r w:rsidRPr="00955869">
              <w:rPr>
                <w:rFonts w:cstheme="minorHAnsi"/>
                <w:b/>
                <w:lang w:val="en-US"/>
              </w:rPr>
              <w:t>sspw@podlaskie.eu</w:t>
            </w:r>
          </w:p>
        </w:tc>
      </w:tr>
    </w:tbl>
    <w:p w14:paraId="2CE7448F" w14:textId="77777777" w:rsidR="008A7C83" w:rsidRDefault="008A7C83"/>
    <w:sectPr w:rsidR="008A7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4265" w14:textId="77777777" w:rsidR="004A0653" w:rsidRDefault="004A0653" w:rsidP="00391DAE">
      <w:pPr>
        <w:spacing w:after="0" w:line="240" w:lineRule="auto"/>
      </w:pPr>
      <w:r>
        <w:separator/>
      </w:r>
    </w:p>
  </w:endnote>
  <w:endnote w:type="continuationSeparator" w:id="0">
    <w:p w14:paraId="330F5F31" w14:textId="77777777" w:rsidR="004A0653" w:rsidRDefault="004A0653" w:rsidP="0039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4A85" w14:textId="77777777" w:rsidR="00391DAE" w:rsidRDefault="00391D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C82B" w14:textId="77777777" w:rsidR="00391DAE" w:rsidRDefault="00391D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A069" w14:textId="77777777" w:rsidR="00391DAE" w:rsidRDefault="0039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C020" w14:textId="77777777" w:rsidR="004A0653" w:rsidRDefault="004A0653" w:rsidP="00391DAE">
      <w:pPr>
        <w:spacing w:after="0" w:line="240" w:lineRule="auto"/>
      </w:pPr>
      <w:r>
        <w:separator/>
      </w:r>
    </w:p>
  </w:footnote>
  <w:footnote w:type="continuationSeparator" w:id="0">
    <w:p w14:paraId="653C4B7C" w14:textId="77777777" w:rsidR="004A0653" w:rsidRDefault="004A0653" w:rsidP="0039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1133" w14:textId="77777777" w:rsidR="00391DAE" w:rsidRDefault="00391D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3E1" w14:textId="3B19A3A2" w:rsidR="00391DAE" w:rsidRPr="0097575E" w:rsidRDefault="00391DAE" w:rsidP="00391DAE">
    <w:pPr>
      <w:pStyle w:val="Nagwek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</w:t>
    </w:r>
    <w:r w:rsidRPr="0097575E">
      <w:rPr>
        <w:rFonts w:ascii="Times New Roman" w:hAnsi="Times New Roman"/>
        <w:b/>
        <w:sz w:val="24"/>
        <w:szCs w:val="24"/>
      </w:rPr>
      <w:t xml:space="preserve">ałącznik nr </w:t>
    </w:r>
    <w:r>
      <w:rPr>
        <w:rFonts w:ascii="Times New Roman" w:hAnsi="Times New Roman"/>
        <w:b/>
        <w:sz w:val="24"/>
        <w:szCs w:val="24"/>
      </w:rPr>
      <w:t>2</w:t>
    </w:r>
    <w:r w:rsidRPr="0097575E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Opis Przedmiotu Zamówienia – Część 2</w:t>
    </w:r>
  </w:p>
  <w:p w14:paraId="2539FCAF" w14:textId="77777777" w:rsidR="00391DAE" w:rsidRDefault="00391D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A06E" w14:textId="77777777" w:rsidR="00391DAE" w:rsidRDefault="00391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52C3F"/>
    <w:multiLevelType w:val="hybridMultilevel"/>
    <w:tmpl w:val="100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C6"/>
    <w:rsid w:val="00034F8A"/>
    <w:rsid w:val="00057EEA"/>
    <w:rsid w:val="00093773"/>
    <w:rsid w:val="00391DAE"/>
    <w:rsid w:val="00392A1B"/>
    <w:rsid w:val="003B02E2"/>
    <w:rsid w:val="004558F1"/>
    <w:rsid w:val="004A0653"/>
    <w:rsid w:val="008A7C83"/>
    <w:rsid w:val="00E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B0C7"/>
  <w15:chartTrackingRefBased/>
  <w15:docId w15:val="{DCBC351A-BEFA-4198-80FC-363A29A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1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C6"/>
    <w:pPr>
      <w:ind w:left="720"/>
      <w:contextualSpacing/>
    </w:pPr>
  </w:style>
  <w:style w:type="table" w:styleId="Tabela-Siatka">
    <w:name w:val="Table Grid"/>
    <w:basedOn w:val="Standardowy"/>
    <w:uiPriority w:val="59"/>
    <w:rsid w:val="00EA31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A31C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DA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A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azard.mf.gov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Wejda</dc:creator>
  <cp:keywords/>
  <dc:description/>
  <cp:lastModifiedBy>Grabowska Arleta Paula</cp:lastModifiedBy>
  <cp:revision>4</cp:revision>
  <dcterms:created xsi:type="dcterms:W3CDTF">2023-12-02T18:58:00Z</dcterms:created>
  <dcterms:modified xsi:type="dcterms:W3CDTF">2024-12-05T09:08:00Z</dcterms:modified>
</cp:coreProperties>
</file>